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5D9" w:rsidRPr="008015D9" w:rsidRDefault="008015D9" w:rsidP="008015D9">
      <w:pPr>
        <w:pStyle w:val="a3"/>
      </w:pPr>
      <w:r w:rsidRPr="008015D9">
        <w:rPr>
          <w:rFonts w:hint="eastAsia"/>
        </w:rPr>
        <w:t>別紙</w:t>
      </w:r>
      <w:r>
        <w:rPr>
          <w:rFonts w:hint="eastAsia"/>
        </w:rPr>
        <w:t>15</w:t>
      </w:r>
      <w:r w:rsidRPr="008015D9">
        <w:rPr>
          <w:rFonts w:hint="eastAsia"/>
        </w:rPr>
        <w:t xml:space="preserve">　地質調査業務委託要領</w:t>
      </w:r>
    </w:p>
    <w:p w:rsidR="008015D9" w:rsidRDefault="008015D9">
      <w:pPr>
        <w:widowControl/>
        <w:jc w:val="left"/>
      </w:pPr>
    </w:p>
    <w:p w:rsidR="008F63DC" w:rsidRPr="008015D9" w:rsidRDefault="008015D9" w:rsidP="008015D9">
      <w:pPr>
        <w:pStyle w:val="a3"/>
      </w:pPr>
      <w:r w:rsidRPr="008015D9">
        <w:rPr>
          <w:rFonts w:hint="eastAsia"/>
        </w:rPr>
        <w:t>１．</w:t>
      </w:r>
      <w:r w:rsidR="008F63DC" w:rsidRPr="008015D9">
        <w:rPr>
          <w:rFonts w:hint="eastAsia"/>
        </w:rPr>
        <w:t>提出書類</w:t>
      </w:r>
    </w:p>
    <w:p w:rsidR="008015D9" w:rsidRPr="008015D9" w:rsidRDefault="008015D9" w:rsidP="008015D9">
      <w:pPr>
        <w:spacing w:beforeLines="50" w:before="171" w:afterLines="50" w:after="171"/>
        <w:rPr>
          <w:rFonts w:ascii="ＭＳ ゴシック" w:eastAsia="ＭＳ ゴシック" w:hAnsi="ＭＳ ゴシック"/>
          <w:b/>
        </w:rPr>
      </w:pPr>
      <w:r w:rsidRPr="008015D9">
        <w:rPr>
          <w:rFonts w:ascii="ＭＳ ゴシック" w:eastAsia="ＭＳ ゴシック" w:hAnsi="ＭＳ ゴシック" w:hint="eastAsia"/>
          <w:b/>
        </w:rPr>
        <w:t>（１）報告書</w:t>
      </w:r>
    </w:p>
    <w:p w:rsidR="008F63DC" w:rsidRDefault="008F63DC" w:rsidP="00902333">
      <w:pPr>
        <w:pStyle w:val="a5"/>
        <w:spacing w:afterLines="50" w:after="171"/>
      </w:pPr>
      <w:r>
        <w:rPr>
          <w:rFonts w:hint="eastAsia"/>
        </w:rPr>
        <w:t>報告書はＡ－４サイズとし、下記項目について整理・記録し、タイプ製本の上３部提出すること。中間報告はボーリング１孔完了毎に柱伏図を提出する。（表示方法は日本建築学会編「建築基礎設計のための地盤調査計画指針」に準ずること）</w:t>
      </w:r>
    </w:p>
    <w:p w:rsidR="008F63DC" w:rsidRDefault="008F63DC" w:rsidP="00902333">
      <w:pPr>
        <w:pStyle w:val="a7"/>
      </w:pPr>
      <w:r>
        <w:rPr>
          <w:rFonts w:hint="eastAsia"/>
        </w:rPr>
        <w:t>①</w:t>
      </w:r>
      <w:r w:rsidR="008015D9">
        <w:rPr>
          <w:rFonts w:hint="eastAsia"/>
        </w:rPr>
        <w:t xml:space="preserve"> </w:t>
      </w:r>
      <w:r>
        <w:rPr>
          <w:rFonts w:hint="eastAsia"/>
        </w:rPr>
        <w:t>調査の概要および調査項目一覧表</w:t>
      </w:r>
    </w:p>
    <w:p w:rsidR="008F63DC" w:rsidRDefault="008015D9" w:rsidP="00902333">
      <w:pPr>
        <w:pStyle w:val="a7"/>
      </w:pPr>
      <w:r>
        <w:rPr>
          <w:rFonts w:hint="eastAsia"/>
        </w:rPr>
        <w:t xml:space="preserve">② </w:t>
      </w:r>
      <w:r w:rsidR="008F63DC">
        <w:rPr>
          <w:rFonts w:hint="eastAsia"/>
        </w:rPr>
        <w:t>調査位置見取図、敷地内ボーリング位置図（標高、調査深度記入のこと）</w:t>
      </w:r>
    </w:p>
    <w:p w:rsidR="008F63DC" w:rsidRDefault="008015D9" w:rsidP="00902333">
      <w:pPr>
        <w:pStyle w:val="a7"/>
      </w:pPr>
      <w:r>
        <w:rPr>
          <w:rFonts w:hint="eastAsia"/>
        </w:rPr>
        <w:t xml:space="preserve">③ </w:t>
      </w:r>
      <w:r w:rsidR="008F63DC">
        <w:rPr>
          <w:rFonts w:hint="eastAsia"/>
        </w:rPr>
        <w:t>現地周辺古地図</w:t>
      </w:r>
    </w:p>
    <w:p w:rsidR="008F63DC" w:rsidRDefault="008015D9" w:rsidP="00902333">
      <w:pPr>
        <w:pStyle w:val="a7"/>
      </w:pPr>
      <w:r>
        <w:rPr>
          <w:rFonts w:hint="eastAsia"/>
        </w:rPr>
        <w:t xml:space="preserve">④ </w:t>
      </w:r>
      <w:r w:rsidR="008F63DC">
        <w:rPr>
          <w:rFonts w:hint="eastAsia"/>
        </w:rPr>
        <w:t>地形地盤の概要と地下水について</w:t>
      </w:r>
    </w:p>
    <w:p w:rsidR="008F63DC" w:rsidRDefault="008015D9" w:rsidP="00902333">
      <w:pPr>
        <w:pStyle w:val="a7"/>
      </w:pPr>
      <w:r>
        <w:rPr>
          <w:rFonts w:hint="eastAsia"/>
        </w:rPr>
        <w:t xml:space="preserve">⑤ </w:t>
      </w:r>
      <w:r w:rsidR="008F63DC">
        <w:rPr>
          <w:rFonts w:hint="eastAsia"/>
        </w:rPr>
        <w:t>調査および測定結果に対する検討および考察</w:t>
      </w:r>
    </w:p>
    <w:p w:rsidR="008F63DC" w:rsidRDefault="008F63DC" w:rsidP="00902333">
      <w:pPr>
        <w:ind w:leftChars="200" w:left="420"/>
      </w:pPr>
      <w:r>
        <w:rPr>
          <w:rFonts w:hint="eastAsia"/>
        </w:rPr>
        <w:t>（a）土質試験について</w:t>
      </w:r>
    </w:p>
    <w:p w:rsidR="008F63DC" w:rsidRDefault="008F63DC" w:rsidP="00902333">
      <w:pPr>
        <w:ind w:leftChars="200" w:left="420"/>
      </w:pPr>
      <w:r>
        <w:rPr>
          <w:rFonts w:hint="eastAsia"/>
        </w:rPr>
        <w:t>（b）建物の支持層の選定と支持力・沈下量の算定のついて</w:t>
      </w:r>
    </w:p>
    <w:p w:rsidR="008F63DC" w:rsidRDefault="008F63DC" w:rsidP="00902333">
      <w:pPr>
        <w:ind w:leftChars="200" w:left="420"/>
      </w:pPr>
      <w:r>
        <w:rPr>
          <w:rFonts w:hint="eastAsia"/>
        </w:rPr>
        <w:t>（c）土質工学的問題、液状化について</w:t>
      </w:r>
    </w:p>
    <w:p w:rsidR="008F63DC" w:rsidRDefault="008F63DC" w:rsidP="00902333">
      <w:pPr>
        <w:ind w:leftChars="200" w:left="420"/>
      </w:pPr>
      <w:r>
        <w:rPr>
          <w:rFonts w:hint="eastAsia"/>
        </w:rPr>
        <w:t>（d）その他</w:t>
      </w:r>
    </w:p>
    <w:p w:rsidR="008F63DC" w:rsidRDefault="008F63DC" w:rsidP="00902333">
      <w:pPr>
        <w:pStyle w:val="a7"/>
      </w:pPr>
      <w:r>
        <w:rPr>
          <w:rFonts w:hint="eastAsia"/>
        </w:rPr>
        <w:t>⑥</w:t>
      </w:r>
      <w:r w:rsidR="008015D9">
        <w:rPr>
          <w:rFonts w:hint="eastAsia"/>
        </w:rPr>
        <w:t xml:space="preserve"> </w:t>
      </w:r>
      <w:r>
        <w:rPr>
          <w:rFonts w:hint="eastAsia"/>
        </w:rPr>
        <w:t>土質柱状断面図および土性図</w:t>
      </w:r>
    </w:p>
    <w:p w:rsidR="008F63DC" w:rsidRDefault="008F63DC" w:rsidP="00902333">
      <w:pPr>
        <w:pStyle w:val="a7"/>
      </w:pPr>
      <w:r>
        <w:rPr>
          <w:rFonts w:hint="eastAsia"/>
        </w:rPr>
        <w:t>⑦</w:t>
      </w:r>
      <w:r w:rsidR="008015D9">
        <w:rPr>
          <w:rFonts w:hint="eastAsia"/>
        </w:rPr>
        <w:t xml:space="preserve"> </w:t>
      </w:r>
      <w:r>
        <w:rPr>
          <w:rFonts w:hint="eastAsia"/>
        </w:rPr>
        <w:t>土質想定断面図（彩色のこと）</w:t>
      </w:r>
    </w:p>
    <w:p w:rsidR="008F63DC" w:rsidRDefault="008F63DC" w:rsidP="00902333">
      <w:pPr>
        <w:pStyle w:val="a7"/>
      </w:pPr>
      <w:r>
        <w:rPr>
          <w:rFonts w:hint="eastAsia"/>
        </w:rPr>
        <w:t>⑧</w:t>
      </w:r>
      <w:r w:rsidR="008015D9">
        <w:rPr>
          <w:rFonts w:hint="eastAsia"/>
        </w:rPr>
        <w:t xml:space="preserve"> </w:t>
      </w:r>
      <w:r>
        <w:rPr>
          <w:rFonts w:hint="eastAsia"/>
        </w:rPr>
        <w:t>N値20,30,50の推定等深コンター図</w:t>
      </w:r>
    </w:p>
    <w:p w:rsidR="008F63DC" w:rsidRDefault="008F63DC" w:rsidP="00902333">
      <w:pPr>
        <w:pStyle w:val="a7"/>
      </w:pPr>
      <w:r>
        <w:rPr>
          <w:rFonts w:hint="eastAsia"/>
        </w:rPr>
        <w:t>⑨</w:t>
      </w:r>
      <w:r w:rsidR="008015D9">
        <w:rPr>
          <w:rFonts w:hint="eastAsia"/>
        </w:rPr>
        <w:t xml:space="preserve"> </w:t>
      </w:r>
      <w:r>
        <w:rPr>
          <w:rFonts w:hint="eastAsia"/>
        </w:rPr>
        <w:t>②、⑥、⑦および⑧の資料については、図面化できるようにCADなど電子データも提出すること。</w:t>
      </w:r>
    </w:p>
    <w:p w:rsidR="008F63DC" w:rsidRDefault="008F63DC" w:rsidP="00902333">
      <w:pPr>
        <w:pStyle w:val="a7"/>
      </w:pPr>
      <w:r>
        <w:rPr>
          <w:rFonts w:hint="eastAsia"/>
        </w:rPr>
        <w:t>⑩</w:t>
      </w:r>
      <w:r w:rsidR="00902333">
        <w:rPr>
          <w:rFonts w:hint="eastAsia"/>
        </w:rPr>
        <w:t xml:space="preserve"> </w:t>
      </w:r>
      <w:r>
        <w:rPr>
          <w:rFonts w:hint="eastAsia"/>
        </w:rPr>
        <w:t>現場状況写真（各孔、カラー、ＢＭ点を含む）</w:t>
      </w:r>
    </w:p>
    <w:p w:rsidR="008F63DC" w:rsidRDefault="008F63DC" w:rsidP="00902333">
      <w:pPr>
        <w:pStyle w:val="a7"/>
      </w:pPr>
      <w:r>
        <w:rPr>
          <w:rFonts w:hint="eastAsia"/>
        </w:rPr>
        <w:t>⑪</w:t>
      </w:r>
      <w:r w:rsidR="00902333">
        <w:rPr>
          <w:rFonts w:hint="eastAsia"/>
        </w:rPr>
        <w:t xml:space="preserve"> </w:t>
      </w:r>
      <w:r>
        <w:rPr>
          <w:rFonts w:hint="eastAsia"/>
        </w:rPr>
        <w:t>その他</w:t>
      </w:r>
    </w:p>
    <w:p w:rsidR="008F63DC" w:rsidRDefault="008015D9" w:rsidP="00902333">
      <w:pPr>
        <w:ind w:leftChars="200" w:left="630" w:hangingChars="100" w:hanging="210"/>
      </w:pPr>
      <w:r>
        <w:rPr>
          <w:rFonts w:hint="eastAsia"/>
        </w:rPr>
        <w:t>・</w:t>
      </w:r>
      <w:r w:rsidR="008F63DC">
        <w:rPr>
          <w:rFonts w:hint="eastAsia"/>
        </w:rPr>
        <w:t>調査</w:t>
      </w:r>
      <w:r w:rsidR="00902333">
        <w:rPr>
          <w:rFonts w:hint="eastAsia"/>
        </w:rPr>
        <w:t>･</w:t>
      </w:r>
      <w:r w:rsidR="008F63DC">
        <w:rPr>
          <w:rFonts w:hint="eastAsia"/>
        </w:rPr>
        <w:t>試験の報告書は、地盤工学会制定のシートを用いて作成するのを原則とする。</w:t>
      </w:r>
    </w:p>
    <w:p w:rsidR="008F63DC" w:rsidRDefault="008015D9" w:rsidP="00902333">
      <w:pPr>
        <w:ind w:leftChars="200" w:left="630" w:hangingChars="100" w:hanging="210"/>
      </w:pPr>
      <w:r>
        <w:rPr>
          <w:rFonts w:hint="eastAsia"/>
        </w:rPr>
        <w:t>・</w:t>
      </w:r>
      <w:r w:rsidR="008F63DC">
        <w:rPr>
          <w:rFonts w:hint="eastAsia"/>
        </w:rPr>
        <w:t>各調査地点の標高は水準点、三角点または担当者が適当と認めた基準点から定め、敷地境界に接する道路縁石、またはこれに代わるものの標高も１ヶ所以上測定する。</w:t>
      </w:r>
    </w:p>
    <w:p w:rsidR="008F63DC" w:rsidRDefault="008015D9" w:rsidP="00902333">
      <w:pPr>
        <w:ind w:leftChars="200" w:left="630" w:hangingChars="100" w:hanging="210"/>
      </w:pPr>
      <w:r>
        <w:rPr>
          <w:rFonts w:hint="eastAsia"/>
        </w:rPr>
        <w:t>・</w:t>
      </w:r>
      <w:r w:rsidR="008F63DC">
        <w:rPr>
          <w:rFonts w:hint="eastAsia"/>
        </w:rPr>
        <w:t>基準点（</w:t>
      </w:r>
      <w:r w:rsidR="00902333">
        <w:rPr>
          <w:rFonts w:hint="eastAsia"/>
        </w:rPr>
        <w:t>BM</w:t>
      </w:r>
      <w:r w:rsidR="008F63DC">
        <w:rPr>
          <w:rFonts w:hint="eastAsia"/>
        </w:rPr>
        <w:t>）の位置・標高を図面に明記する。</w:t>
      </w:r>
    </w:p>
    <w:p w:rsidR="008F63DC" w:rsidRDefault="008015D9" w:rsidP="00902333">
      <w:pPr>
        <w:ind w:leftChars="200" w:left="630" w:hangingChars="100" w:hanging="210"/>
      </w:pPr>
      <w:r>
        <w:rPr>
          <w:rFonts w:hint="eastAsia"/>
        </w:rPr>
        <w:t>・</w:t>
      </w:r>
      <w:r w:rsidR="008F63DC">
        <w:rPr>
          <w:rFonts w:hint="eastAsia"/>
        </w:rPr>
        <w:t>敷地中心の緯度、経度を1/25000または1/50000地図より読み取り、調査位置図に明記する。（0.1分単位とする。）</w:t>
      </w:r>
    </w:p>
    <w:p w:rsidR="008015D9" w:rsidRDefault="008015D9" w:rsidP="008F63DC"/>
    <w:p w:rsidR="00902333" w:rsidRDefault="00902333" w:rsidP="00902333">
      <w:pPr>
        <w:pStyle w:val="a3"/>
      </w:pPr>
      <w:r>
        <w:rPr>
          <w:rFonts w:hint="eastAsia"/>
        </w:rPr>
        <w:t>（２）土質標本試料</w:t>
      </w:r>
    </w:p>
    <w:p w:rsidR="008F63DC" w:rsidRDefault="008F63DC" w:rsidP="00902333">
      <w:pPr>
        <w:pStyle w:val="a5"/>
        <w:spacing w:afterLines="50" w:after="171"/>
      </w:pPr>
      <w:r>
        <w:rPr>
          <w:rFonts w:hint="eastAsia"/>
        </w:rPr>
        <w:t>下記の要領で１組提出すること。</w:t>
      </w:r>
    </w:p>
    <w:p w:rsidR="008F63DC" w:rsidRDefault="008015D9" w:rsidP="00902333">
      <w:pPr>
        <w:ind w:leftChars="100" w:left="420" w:hangingChars="100" w:hanging="210"/>
      </w:pPr>
      <w:r>
        <w:rPr>
          <w:rFonts w:hint="eastAsia"/>
        </w:rPr>
        <w:t>・</w:t>
      </w:r>
      <w:r w:rsidR="008F63DC">
        <w:rPr>
          <w:rFonts w:hint="eastAsia"/>
        </w:rPr>
        <w:t>原則として代表的な地層の変わるごとに作成する。</w:t>
      </w:r>
    </w:p>
    <w:p w:rsidR="008F63DC" w:rsidRDefault="008015D9" w:rsidP="00902333">
      <w:pPr>
        <w:ind w:leftChars="100" w:left="420" w:hangingChars="100" w:hanging="210"/>
      </w:pPr>
      <w:r>
        <w:rPr>
          <w:rFonts w:hint="eastAsia"/>
        </w:rPr>
        <w:t>・</w:t>
      </w:r>
      <w:r w:rsidR="008F63DC">
        <w:rPr>
          <w:rFonts w:hint="eastAsia"/>
        </w:rPr>
        <w:t>１試料毎にプラスチック容器詰めとし、採取した深度および土質名を記入して標本箱納めとする。標本箱のなかに当該ボーリング孔土質柱状図を添付する。</w:t>
      </w:r>
    </w:p>
    <w:p w:rsidR="008F63DC" w:rsidRDefault="00902333" w:rsidP="00902333">
      <w:pPr>
        <w:pStyle w:val="a3"/>
      </w:pPr>
      <w:r>
        <w:rPr>
          <w:rFonts w:hint="eastAsia"/>
        </w:rPr>
        <w:lastRenderedPageBreak/>
        <w:t>２．</w:t>
      </w:r>
      <w:r w:rsidR="008F63DC">
        <w:rPr>
          <w:rFonts w:hint="eastAsia"/>
        </w:rPr>
        <w:t>調査</w:t>
      </w:r>
      <w:r w:rsidR="00E8141C">
        <w:rPr>
          <w:rFonts w:hint="eastAsia"/>
        </w:rPr>
        <w:t>及び</w:t>
      </w:r>
      <w:r w:rsidR="008F63DC">
        <w:rPr>
          <w:rFonts w:hint="eastAsia"/>
        </w:rPr>
        <w:t>試験の仕様</w:t>
      </w:r>
    </w:p>
    <w:p w:rsidR="008F63DC" w:rsidRDefault="00902333" w:rsidP="00902333">
      <w:pPr>
        <w:pStyle w:val="a3"/>
      </w:pPr>
      <w:r>
        <w:rPr>
          <w:rFonts w:hint="eastAsia"/>
        </w:rPr>
        <w:t>（１）</w:t>
      </w:r>
      <w:r w:rsidR="008F63DC">
        <w:rPr>
          <w:rFonts w:hint="eastAsia"/>
        </w:rPr>
        <w:t>一般事項</w:t>
      </w:r>
    </w:p>
    <w:p w:rsidR="008F63DC" w:rsidRPr="00902333" w:rsidRDefault="00902333" w:rsidP="00902333">
      <w:pPr>
        <w:pStyle w:val="a7"/>
        <w:spacing w:afterLines="50" w:after="171"/>
      </w:pPr>
      <w:r>
        <w:rPr>
          <w:rFonts w:hint="eastAsia"/>
        </w:rPr>
        <w:t xml:space="preserve">① </w:t>
      </w:r>
      <w:r w:rsidR="008F63DC">
        <w:rPr>
          <w:rFonts w:hint="eastAsia"/>
        </w:rPr>
        <w:t>前項の調査・試験は関連JIS規格、地盤工学会基準および地盤工学会編「土質調査法」・「土質試験法」に準ずる。</w:t>
      </w:r>
    </w:p>
    <w:tbl>
      <w:tblPr>
        <w:tblW w:w="4717" w:type="pct"/>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4"/>
        <w:gridCol w:w="3826"/>
      </w:tblGrid>
      <w:tr w:rsidR="008F63DC" w:rsidTr="00902333">
        <w:tc>
          <w:tcPr>
            <w:tcW w:w="2816" w:type="pct"/>
          </w:tcPr>
          <w:p w:rsidR="008F63DC" w:rsidRDefault="00902333" w:rsidP="008F63DC">
            <w:r>
              <w:rPr>
                <w:rFonts w:hint="eastAsia"/>
              </w:rPr>
              <w:t>試</w:t>
            </w:r>
            <w:r w:rsidR="008F63DC">
              <w:rPr>
                <w:rFonts w:hint="eastAsia"/>
              </w:rPr>
              <w:t>験</w:t>
            </w:r>
          </w:p>
        </w:tc>
        <w:tc>
          <w:tcPr>
            <w:tcW w:w="2184" w:type="pct"/>
          </w:tcPr>
          <w:p w:rsidR="008F63DC" w:rsidRDefault="00902333" w:rsidP="008F63DC">
            <w:r>
              <w:rPr>
                <w:rFonts w:hint="eastAsia"/>
              </w:rPr>
              <w:t>仕</w:t>
            </w:r>
            <w:r w:rsidR="008F63DC">
              <w:rPr>
                <w:rFonts w:hint="eastAsia"/>
              </w:rPr>
              <w:t>様</w:t>
            </w:r>
          </w:p>
        </w:tc>
      </w:tr>
      <w:tr w:rsidR="008F63DC" w:rsidTr="00902333">
        <w:trPr>
          <w:trHeight w:val="1671"/>
        </w:trPr>
        <w:tc>
          <w:tcPr>
            <w:tcW w:w="2816" w:type="pct"/>
          </w:tcPr>
          <w:p w:rsidR="008F63DC" w:rsidRDefault="008F63DC" w:rsidP="008F63DC">
            <w:r>
              <w:rPr>
                <w:rFonts w:hint="eastAsia"/>
              </w:rPr>
              <w:t>標準貫入試験</w:t>
            </w:r>
          </w:p>
          <w:p w:rsidR="008F63DC" w:rsidRDefault="008F63DC" w:rsidP="008F63DC">
            <w:r>
              <w:rPr>
                <w:rFonts w:hint="eastAsia"/>
              </w:rPr>
              <w:t>オランダ式二重貫入試験</w:t>
            </w:r>
          </w:p>
          <w:p w:rsidR="008F63DC" w:rsidRDefault="008F63DC" w:rsidP="008F63DC">
            <w:r>
              <w:rPr>
                <w:rFonts w:hint="eastAsia"/>
              </w:rPr>
              <w:t>スウェーデンサウンディング</w:t>
            </w:r>
          </w:p>
          <w:p w:rsidR="008F63DC" w:rsidRDefault="008F63DC" w:rsidP="008F63DC">
            <w:r>
              <w:rPr>
                <w:rFonts w:hint="eastAsia"/>
              </w:rPr>
              <w:t>平板載荷試験</w:t>
            </w:r>
          </w:p>
          <w:p w:rsidR="00902333" w:rsidRDefault="008F63DC" w:rsidP="008F63DC">
            <w:r>
              <w:rPr>
                <w:rFonts w:hint="eastAsia"/>
              </w:rPr>
              <w:t>固定ピストン式シンウォールサンプラーによる</w:t>
            </w:r>
          </w:p>
          <w:p w:rsidR="008F63DC" w:rsidRDefault="008F63DC" w:rsidP="008F63DC">
            <w:r>
              <w:rPr>
                <w:rFonts w:hint="eastAsia"/>
              </w:rPr>
              <w:t>乱さない試料採取法</w:t>
            </w:r>
          </w:p>
          <w:p w:rsidR="008F63DC" w:rsidRDefault="008F63DC" w:rsidP="008F63DC">
            <w:r>
              <w:rPr>
                <w:rFonts w:hint="eastAsia"/>
              </w:rPr>
              <w:t>簡易粒度試験</w:t>
            </w:r>
          </w:p>
          <w:p w:rsidR="008F63DC" w:rsidRDefault="008F63DC" w:rsidP="008F63DC">
            <w:r>
              <w:rPr>
                <w:rFonts w:hint="eastAsia"/>
              </w:rPr>
              <w:t>土粒子の比重試験</w:t>
            </w:r>
          </w:p>
          <w:p w:rsidR="008F63DC" w:rsidRDefault="008F63DC" w:rsidP="008F63DC">
            <w:r>
              <w:rPr>
                <w:rFonts w:hint="eastAsia"/>
              </w:rPr>
              <w:t>含水量試験</w:t>
            </w:r>
          </w:p>
          <w:p w:rsidR="008F63DC" w:rsidRDefault="008F63DC" w:rsidP="008F63DC">
            <w:r>
              <w:rPr>
                <w:rFonts w:hint="eastAsia"/>
              </w:rPr>
              <w:t>粒度試験</w:t>
            </w:r>
          </w:p>
          <w:p w:rsidR="008F63DC" w:rsidRDefault="008F63DC" w:rsidP="008F63DC">
            <w:r>
              <w:rPr>
                <w:rFonts w:hint="eastAsia"/>
              </w:rPr>
              <w:t>液性限界試験</w:t>
            </w:r>
          </w:p>
          <w:p w:rsidR="008F63DC" w:rsidRDefault="008F63DC" w:rsidP="008F63DC">
            <w:r>
              <w:rPr>
                <w:rFonts w:hint="eastAsia"/>
              </w:rPr>
              <w:t>塑性限界試験</w:t>
            </w:r>
          </w:p>
          <w:p w:rsidR="008F63DC" w:rsidRDefault="008F63DC" w:rsidP="008F63DC">
            <w:r>
              <w:rPr>
                <w:rFonts w:hint="eastAsia"/>
              </w:rPr>
              <w:t>一軸圧縮試験</w:t>
            </w:r>
          </w:p>
          <w:p w:rsidR="008F63DC" w:rsidRDefault="008F63DC" w:rsidP="008F63DC">
            <w:r>
              <w:rPr>
                <w:rFonts w:hint="eastAsia"/>
              </w:rPr>
              <w:t>圧密試験</w:t>
            </w:r>
          </w:p>
        </w:tc>
        <w:tc>
          <w:tcPr>
            <w:tcW w:w="2184" w:type="pct"/>
          </w:tcPr>
          <w:p w:rsidR="008F63DC" w:rsidRDefault="008F63DC" w:rsidP="008F63DC">
            <w:r>
              <w:rPr>
                <w:rFonts w:hint="eastAsia"/>
              </w:rPr>
              <w:t xml:space="preserve">　JIS A 1219</w:t>
            </w:r>
          </w:p>
          <w:p w:rsidR="008F63DC" w:rsidRDefault="008F63DC" w:rsidP="008F63DC">
            <w:r>
              <w:rPr>
                <w:rFonts w:hint="eastAsia"/>
              </w:rPr>
              <w:t xml:space="preserve">　JIS A 1220</w:t>
            </w:r>
          </w:p>
          <w:p w:rsidR="008F63DC" w:rsidRDefault="008F63DC" w:rsidP="008F63DC">
            <w:r>
              <w:rPr>
                <w:rFonts w:hint="eastAsia"/>
              </w:rPr>
              <w:t xml:space="preserve">　JIS A 1221</w:t>
            </w:r>
          </w:p>
          <w:p w:rsidR="008F63DC" w:rsidRDefault="008F63DC" w:rsidP="008F63DC">
            <w:r>
              <w:rPr>
                <w:rFonts w:hint="eastAsia"/>
              </w:rPr>
              <w:t xml:space="preserve">　地盤工学会基準</w:t>
            </w:r>
          </w:p>
          <w:p w:rsidR="008F63DC" w:rsidRDefault="008F63DC" w:rsidP="008F63DC">
            <w:r>
              <w:rPr>
                <w:rFonts w:hint="eastAsia"/>
              </w:rPr>
              <w:t xml:space="preserve">　地盤工学会基準</w:t>
            </w:r>
          </w:p>
          <w:p w:rsidR="008F63DC" w:rsidRDefault="008F63DC" w:rsidP="008F63DC"/>
          <w:p w:rsidR="008F63DC" w:rsidRDefault="008F63DC" w:rsidP="008F63DC">
            <w:r>
              <w:rPr>
                <w:rFonts w:hint="eastAsia"/>
              </w:rPr>
              <w:t xml:space="preserve">　地盤工学会基準</w:t>
            </w:r>
          </w:p>
          <w:p w:rsidR="008F63DC" w:rsidRDefault="008F63DC" w:rsidP="008F63DC">
            <w:r>
              <w:rPr>
                <w:rFonts w:hint="eastAsia"/>
              </w:rPr>
              <w:t xml:space="preserve">　JIS A 1202</w:t>
            </w:r>
          </w:p>
          <w:p w:rsidR="008F63DC" w:rsidRDefault="008F63DC" w:rsidP="008F63DC">
            <w:r>
              <w:rPr>
                <w:rFonts w:hint="eastAsia"/>
              </w:rPr>
              <w:t xml:space="preserve">　JIS A 1203</w:t>
            </w:r>
          </w:p>
          <w:p w:rsidR="008F63DC" w:rsidRDefault="008F63DC" w:rsidP="008F63DC">
            <w:r>
              <w:rPr>
                <w:rFonts w:hint="eastAsia"/>
              </w:rPr>
              <w:t xml:space="preserve">　JIS A 1204</w:t>
            </w:r>
          </w:p>
          <w:p w:rsidR="008F63DC" w:rsidRDefault="008F63DC" w:rsidP="008F63DC">
            <w:r>
              <w:rPr>
                <w:rFonts w:hint="eastAsia"/>
              </w:rPr>
              <w:t xml:space="preserve">　JIS A 1205</w:t>
            </w:r>
          </w:p>
          <w:p w:rsidR="008F63DC" w:rsidRDefault="008F63DC" w:rsidP="008F63DC">
            <w:r>
              <w:rPr>
                <w:rFonts w:hint="eastAsia"/>
              </w:rPr>
              <w:t xml:space="preserve">　JIS A 1206</w:t>
            </w:r>
          </w:p>
          <w:p w:rsidR="008F63DC" w:rsidRDefault="008F63DC" w:rsidP="008F63DC">
            <w:r>
              <w:rPr>
                <w:rFonts w:hint="eastAsia"/>
              </w:rPr>
              <w:t xml:space="preserve">　JIS A 1216</w:t>
            </w:r>
          </w:p>
          <w:p w:rsidR="008F63DC" w:rsidRDefault="008F63DC" w:rsidP="008F63DC">
            <w:r>
              <w:rPr>
                <w:rFonts w:hint="eastAsia"/>
              </w:rPr>
              <w:t xml:space="preserve">　JIS A 1217</w:t>
            </w:r>
          </w:p>
        </w:tc>
      </w:tr>
    </w:tbl>
    <w:p w:rsidR="008F63DC" w:rsidRDefault="00902333" w:rsidP="00902333">
      <w:pPr>
        <w:pStyle w:val="a7"/>
        <w:spacing w:beforeLines="50" w:before="171"/>
      </w:pPr>
      <w:r>
        <w:rPr>
          <w:rFonts w:hint="eastAsia"/>
        </w:rPr>
        <w:t xml:space="preserve">② </w:t>
      </w:r>
      <w:r w:rsidR="008F63DC">
        <w:rPr>
          <w:rFonts w:hint="eastAsia"/>
        </w:rPr>
        <w:t>調査</w:t>
      </w:r>
      <w:r>
        <w:rPr>
          <w:rFonts w:hint="eastAsia"/>
        </w:rPr>
        <w:t>及び試験は、専門業者の責任施工を原則とする。</w:t>
      </w:r>
      <w:r w:rsidR="00E8141C">
        <w:rPr>
          <w:rFonts w:hint="eastAsia"/>
          <w:sz w:val="22"/>
          <w:szCs w:val="22"/>
        </w:rPr>
        <w:t>（調査工事および報告書に関する責任は請負者にある。）</w:t>
      </w:r>
    </w:p>
    <w:p w:rsidR="008F63DC" w:rsidRDefault="00902333" w:rsidP="00902333">
      <w:pPr>
        <w:pStyle w:val="a7"/>
      </w:pPr>
      <w:r>
        <w:rPr>
          <w:rFonts w:hint="eastAsia"/>
        </w:rPr>
        <w:t xml:space="preserve">③ </w:t>
      </w:r>
      <w:r w:rsidR="008F63DC">
        <w:rPr>
          <w:rFonts w:hint="eastAsia"/>
        </w:rPr>
        <w:t>調査にあっては、既存物件などの保護に留意しなければならない。既存物件などに与えた損害は、請負者の責任において補償しなければならない。作業完了の後は、直ちに仮設物、機械等を除去し、後片付けおよび清掃を完全にして、穴埋めなどを行ない敷地を原形に復さなければならない。</w:t>
      </w:r>
    </w:p>
    <w:p w:rsidR="008F63DC" w:rsidRDefault="00902333" w:rsidP="00902333">
      <w:pPr>
        <w:pStyle w:val="a7"/>
      </w:pPr>
      <w:r>
        <w:rPr>
          <w:rFonts w:hint="eastAsia"/>
        </w:rPr>
        <w:t xml:space="preserve">④ </w:t>
      </w:r>
      <w:r w:rsidR="008F63DC">
        <w:rPr>
          <w:rFonts w:hint="eastAsia"/>
        </w:rPr>
        <w:t>各現位置試験において所期の目的通り掘進等が完了した時点で係員に対する中間報告を行なうことを原則とする。</w:t>
      </w:r>
    </w:p>
    <w:p w:rsidR="008F63DC" w:rsidRDefault="00902333" w:rsidP="00902333">
      <w:pPr>
        <w:pStyle w:val="a7"/>
      </w:pPr>
      <w:r>
        <w:rPr>
          <w:rFonts w:hint="eastAsia"/>
        </w:rPr>
        <w:t xml:space="preserve">⑤ </w:t>
      </w:r>
      <w:r w:rsidR="008F63DC">
        <w:rPr>
          <w:rFonts w:hint="eastAsia"/>
        </w:rPr>
        <w:t>調査・試験の途中で、</w:t>
      </w:r>
      <w:r>
        <w:rPr>
          <w:rFonts w:hint="eastAsia"/>
        </w:rPr>
        <w:t>「</w:t>
      </w:r>
      <w:r w:rsidR="008F63DC">
        <w:rPr>
          <w:rFonts w:hint="eastAsia"/>
        </w:rPr>
        <w:t>想定地盤と著しく異なったり、現場諸条件の特異性により掘進が困難な場合</w:t>
      </w:r>
      <w:r>
        <w:rPr>
          <w:rFonts w:hint="eastAsia"/>
        </w:rPr>
        <w:t>」「</w:t>
      </w:r>
      <w:r w:rsidR="008F63DC">
        <w:rPr>
          <w:rFonts w:hint="eastAsia"/>
        </w:rPr>
        <w:t>予定深度に達しても数ｍ以上にわたる想定支持地盤が確認できない場合</w:t>
      </w:r>
      <w:r>
        <w:rPr>
          <w:rFonts w:hint="eastAsia"/>
        </w:rPr>
        <w:t>」「</w:t>
      </w:r>
      <w:r w:rsidR="008F63DC">
        <w:rPr>
          <w:rFonts w:hint="eastAsia"/>
        </w:rPr>
        <w:t>予定深度に達していないが、数ｍ以上にわたる支持地盤が確認できた場合</w:t>
      </w:r>
      <w:r>
        <w:rPr>
          <w:rFonts w:hint="eastAsia"/>
        </w:rPr>
        <w:t>」「</w:t>
      </w:r>
      <w:r w:rsidR="008F63DC">
        <w:rPr>
          <w:rFonts w:hint="eastAsia"/>
        </w:rPr>
        <w:t>その他、目的が達成できないと判断した場合</w:t>
      </w:r>
      <w:r>
        <w:rPr>
          <w:rFonts w:hint="eastAsia"/>
        </w:rPr>
        <w:t>」</w:t>
      </w:r>
      <w:r w:rsidR="008F63DC">
        <w:rPr>
          <w:rFonts w:hint="eastAsia"/>
        </w:rPr>
        <w:t>には、係員に報告し、その指示をうける。</w:t>
      </w:r>
    </w:p>
    <w:p w:rsidR="008F63DC" w:rsidRDefault="00902333" w:rsidP="00902333">
      <w:pPr>
        <w:pStyle w:val="a7"/>
      </w:pPr>
      <w:r>
        <w:rPr>
          <w:rFonts w:hint="eastAsia"/>
        </w:rPr>
        <w:t xml:space="preserve">⑥ </w:t>
      </w:r>
      <w:r w:rsidR="008F63DC">
        <w:rPr>
          <w:rFonts w:hint="eastAsia"/>
        </w:rPr>
        <w:t>係員の指示により調査・試験の変更を行なうことがある。</w:t>
      </w:r>
    </w:p>
    <w:p w:rsidR="008F63DC" w:rsidRDefault="008F63DC" w:rsidP="008F63DC"/>
    <w:p w:rsidR="008F63DC" w:rsidRDefault="00902333" w:rsidP="00E8141C">
      <w:pPr>
        <w:pStyle w:val="a3"/>
      </w:pPr>
      <w:r>
        <w:rPr>
          <w:rFonts w:hint="eastAsia"/>
        </w:rPr>
        <w:t>（１）</w:t>
      </w:r>
      <w:r w:rsidR="008F63DC">
        <w:rPr>
          <w:rFonts w:hint="eastAsia"/>
        </w:rPr>
        <w:t>調査方法</w:t>
      </w:r>
    </w:p>
    <w:p w:rsidR="008F63DC" w:rsidRDefault="00902333" w:rsidP="00902333">
      <w:pPr>
        <w:pStyle w:val="a7"/>
      </w:pPr>
      <w:r>
        <w:rPr>
          <w:rFonts w:hint="eastAsia"/>
        </w:rPr>
        <w:t xml:space="preserve">① </w:t>
      </w:r>
      <w:r w:rsidR="008F63DC">
        <w:rPr>
          <w:rFonts w:hint="eastAsia"/>
        </w:rPr>
        <w:t>ボーリング</w:t>
      </w:r>
    </w:p>
    <w:p w:rsidR="008F63DC" w:rsidRDefault="008015D9" w:rsidP="00902333">
      <w:pPr>
        <w:ind w:leftChars="200" w:left="630" w:hangingChars="100" w:hanging="210"/>
      </w:pPr>
      <w:r>
        <w:rPr>
          <w:rFonts w:hint="eastAsia"/>
        </w:rPr>
        <w:t>・</w:t>
      </w:r>
      <w:r w:rsidR="008F63DC">
        <w:rPr>
          <w:rFonts w:hint="eastAsia"/>
        </w:rPr>
        <w:t>工法はロータリー式ボーリングとする。</w:t>
      </w:r>
    </w:p>
    <w:p w:rsidR="008F63DC" w:rsidRDefault="008015D9" w:rsidP="00902333">
      <w:pPr>
        <w:ind w:leftChars="200" w:left="630" w:hangingChars="100" w:hanging="210"/>
      </w:pPr>
      <w:r>
        <w:rPr>
          <w:rFonts w:hint="eastAsia"/>
        </w:rPr>
        <w:t>・</w:t>
      </w:r>
      <w:r w:rsidR="008F63DC">
        <w:rPr>
          <w:rFonts w:hint="eastAsia"/>
        </w:rPr>
        <w:t>孔内水位の確認は自由水位面までの空掘りを原則とする。</w:t>
      </w:r>
    </w:p>
    <w:p w:rsidR="008F63DC" w:rsidRDefault="008015D9" w:rsidP="00902333">
      <w:pPr>
        <w:ind w:leftChars="200" w:left="630" w:hangingChars="100" w:hanging="210"/>
      </w:pPr>
      <w:r>
        <w:rPr>
          <w:rFonts w:hint="eastAsia"/>
        </w:rPr>
        <w:lastRenderedPageBreak/>
        <w:t>・</w:t>
      </w:r>
      <w:r w:rsidR="008F63DC">
        <w:rPr>
          <w:rFonts w:hint="eastAsia"/>
        </w:rPr>
        <w:t>調査および試験完了後のボーリング孔で、地下工事のあるもの、または、被圧地下水位のある場所、その他必要と認められる場合には、セメンテーションなどを行なう。</w:t>
      </w:r>
    </w:p>
    <w:p w:rsidR="008F63DC" w:rsidRDefault="00902333" w:rsidP="00902333">
      <w:pPr>
        <w:pStyle w:val="a7"/>
      </w:pPr>
      <w:r>
        <w:rPr>
          <w:rFonts w:hint="eastAsia"/>
        </w:rPr>
        <w:t xml:space="preserve">② </w:t>
      </w:r>
      <w:r w:rsidR="008F63DC">
        <w:rPr>
          <w:rFonts w:hint="eastAsia"/>
        </w:rPr>
        <w:t>標準貫入試験</w:t>
      </w:r>
    </w:p>
    <w:p w:rsidR="008F63DC" w:rsidRDefault="008015D9" w:rsidP="00902333">
      <w:pPr>
        <w:ind w:leftChars="200" w:left="630" w:hangingChars="100" w:hanging="210"/>
      </w:pPr>
      <w:r>
        <w:rPr>
          <w:rFonts w:hint="eastAsia"/>
        </w:rPr>
        <w:t>・</w:t>
      </w:r>
      <w:r w:rsidR="008F63DC">
        <w:rPr>
          <w:rFonts w:hint="eastAsia"/>
        </w:rPr>
        <w:t>Ｎ値は特記なき限り、１</w:t>
      </w:r>
      <w:r w:rsidR="00902333">
        <w:rPr>
          <w:rFonts w:hint="eastAsia"/>
        </w:rPr>
        <w:t>m</w:t>
      </w:r>
      <w:r w:rsidR="008F63DC">
        <w:rPr>
          <w:rFonts w:hint="eastAsia"/>
        </w:rPr>
        <w:t>毎に測定する。</w:t>
      </w:r>
    </w:p>
    <w:p w:rsidR="008F63DC" w:rsidRDefault="00902333" w:rsidP="00E8141C">
      <w:pPr>
        <w:pStyle w:val="a7"/>
      </w:pPr>
      <w:r>
        <w:rPr>
          <w:rFonts w:hint="eastAsia"/>
        </w:rPr>
        <w:t xml:space="preserve">③ </w:t>
      </w:r>
      <w:r w:rsidR="008F63DC">
        <w:rPr>
          <w:rFonts w:hint="eastAsia"/>
        </w:rPr>
        <w:t>乱した試料の採取</w:t>
      </w:r>
    </w:p>
    <w:p w:rsidR="008F63DC" w:rsidRDefault="008015D9" w:rsidP="00902333">
      <w:pPr>
        <w:ind w:leftChars="200" w:left="630" w:hangingChars="100" w:hanging="210"/>
      </w:pPr>
      <w:r>
        <w:rPr>
          <w:rFonts w:hint="eastAsia"/>
        </w:rPr>
        <w:t>・</w:t>
      </w:r>
      <w:r w:rsidR="008F63DC">
        <w:rPr>
          <w:rFonts w:hint="eastAsia"/>
        </w:rPr>
        <w:t>標準貫入試験より採取する。</w:t>
      </w:r>
    </w:p>
    <w:p w:rsidR="008F63DC" w:rsidRDefault="00902333" w:rsidP="00E8141C">
      <w:pPr>
        <w:pStyle w:val="a7"/>
      </w:pPr>
      <w:r>
        <w:rPr>
          <w:rFonts w:hint="eastAsia"/>
        </w:rPr>
        <w:t xml:space="preserve">④ </w:t>
      </w:r>
      <w:r w:rsidR="008F63DC">
        <w:rPr>
          <w:rFonts w:hint="eastAsia"/>
        </w:rPr>
        <w:t>地下水位測定</w:t>
      </w:r>
    </w:p>
    <w:p w:rsidR="008F63DC" w:rsidRDefault="00902333" w:rsidP="00E8141C">
      <w:pPr>
        <w:ind w:leftChars="200" w:left="735" w:hangingChars="150" w:hanging="315"/>
      </w:pPr>
      <w:r>
        <w:rPr>
          <w:rFonts w:hint="eastAsia"/>
        </w:rPr>
        <w:t>(a)</w:t>
      </w:r>
      <w:r w:rsidR="008F63DC">
        <w:rPr>
          <w:rFonts w:hint="eastAsia"/>
        </w:rPr>
        <w:t>測定に先立って行なわれた土質調査結果にもとづき、対象土質に塩ビ管などによるストレーナーを設置する。なお、ストレーナーは対象土質以外とは縁切り（例えばセメンテ―ション）をするが充分な施工が出来ない場合は、対象土層まで新たにボーリングを行なう。</w:t>
      </w:r>
    </w:p>
    <w:p w:rsidR="008F63DC" w:rsidRDefault="00902333" w:rsidP="00E8141C">
      <w:pPr>
        <w:ind w:leftChars="200" w:left="735" w:hangingChars="150" w:hanging="315"/>
      </w:pPr>
      <w:r>
        <w:rPr>
          <w:rFonts w:hint="eastAsia"/>
        </w:rPr>
        <w:t>(b)</w:t>
      </w:r>
      <w:r w:rsidR="008F63DC">
        <w:rPr>
          <w:rFonts w:hint="eastAsia"/>
        </w:rPr>
        <w:t>次に孔内を十分洗浄した後に、地下水を汲み上げ、または注水した後、水位が安定するまで測定を行なう。</w:t>
      </w:r>
    </w:p>
    <w:p w:rsidR="008F63DC" w:rsidRDefault="00902333" w:rsidP="00E8141C">
      <w:pPr>
        <w:ind w:leftChars="200" w:left="735" w:hangingChars="150" w:hanging="315"/>
      </w:pPr>
      <w:r>
        <w:rPr>
          <w:rFonts w:hint="eastAsia"/>
        </w:rPr>
        <w:t>(c)</w:t>
      </w:r>
      <w:r w:rsidR="008F63DC">
        <w:rPr>
          <w:rFonts w:hint="eastAsia"/>
        </w:rPr>
        <w:t>以上の方法を用いて、地下水位（自由水位あるいは被圧水位）の測定を行い、また周辺地盤の透水性を判断する。</w:t>
      </w:r>
    </w:p>
    <w:p w:rsidR="005B49DE" w:rsidRPr="008F63DC" w:rsidRDefault="005B49DE" w:rsidP="008F63DC"/>
    <w:sectPr w:rsidR="005B49DE" w:rsidRPr="008F63DC" w:rsidSect="008015D9">
      <w:headerReference w:type="even" r:id="rId6"/>
      <w:headerReference w:type="default" r:id="rId7"/>
      <w:footerReference w:type="even" r:id="rId8"/>
      <w:footerReference w:type="default" r:id="rId9"/>
      <w:headerReference w:type="first" r:id="rId10"/>
      <w:footerReference w:type="first" r:id="rId11"/>
      <w:pgSz w:w="11906" w:h="16838" w:code="9"/>
      <w:pgMar w:top="1701" w:right="1418" w:bottom="1418"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80A" w:rsidRDefault="00DA380A" w:rsidP="00DA380A">
      <w:r>
        <w:separator/>
      </w:r>
    </w:p>
  </w:endnote>
  <w:endnote w:type="continuationSeparator" w:id="0">
    <w:p w:rsidR="00DA380A" w:rsidRDefault="00DA380A" w:rsidP="00DA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E1B" w:rsidRDefault="00135E1B">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209498"/>
      <w:docPartObj>
        <w:docPartGallery w:val="Page Numbers (Bottom of Page)"/>
        <w:docPartUnique/>
      </w:docPartObj>
    </w:sdtPr>
    <w:sdtContent>
      <w:p w:rsidR="00135E1B" w:rsidRDefault="00135E1B" w:rsidP="00135E1B">
        <w:pPr>
          <w:pStyle w:val="ab"/>
          <w:jc w:val="center"/>
          <w:rPr>
            <w:rFonts w:hint="eastAsia"/>
          </w:rPr>
        </w:pPr>
        <w:r>
          <w:fldChar w:fldCharType="begin"/>
        </w:r>
        <w:r>
          <w:instrText>PAGE   \* MERGEFORMAT</w:instrText>
        </w:r>
        <w:r>
          <w:fldChar w:fldCharType="separate"/>
        </w:r>
        <w:r>
          <w:rPr>
            <w:lang w:val="ja-JP"/>
          </w:rPr>
          <w:t>2</w:t>
        </w:r>
        <w:r>
          <w:fldChar w:fldCharType="end"/>
        </w:r>
      </w:p>
      <w:bookmarkStart w:id="0" w:name="_GoBack" w:displacedByCustomXml="next"/>
      <w:bookmarkEnd w:id="0" w:displacedByCustomXml="nex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E1B" w:rsidRDefault="00135E1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80A" w:rsidRDefault="00DA380A" w:rsidP="00DA380A">
      <w:r>
        <w:separator/>
      </w:r>
    </w:p>
  </w:footnote>
  <w:footnote w:type="continuationSeparator" w:id="0">
    <w:p w:rsidR="00DA380A" w:rsidRDefault="00DA380A" w:rsidP="00DA3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E1B" w:rsidRDefault="00135E1B">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E1B" w:rsidRDefault="00135E1B">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E1B" w:rsidRDefault="00135E1B">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63DC"/>
    <w:rsid w:val="00002206"/>
    <w:rsid w:val="00002872"/>
    <w:rsid w:val="000031F4"/>
    <w:rsid w:val="00004E0B"/>
    <w:rsid w:val="000054A2"/>
    <w:rsid w:val="00011846"/>
    <w:rsid w:val="0002212F"/>
    <w:rsid w:val="00022E3D"/>
    <w:rsid w:val="00030705"/>
    <w:rsid w:val="0003761B"/>
    <w:rsid w:val="00042005"/>
    <w:rsid w:val="0005091F"/>
    <w:rsid w:val="0005345C"/>
    <w:rsid w:val="00055EF4"/>
    <w:rsid w:val="000571B9"/>
    <w:rsid w:val="00081DFB"/>
    <w:rsid w:val="00082EBF"/>
    <w:rsid w:val="00085BEF"/>
    <w:rsid w:val="00090764"/>
    <w:rsid w:val="000A63B2"/>
    <w:rsid w:val="000B1B60"/>
    <w:rsid w:val="000B6952"/>
    <w:rsid w:val="000B7827"/>
    <w:rsid w:val="000C1E56"/>
    <w:rsid w:val="000C41BD"/>
    <w:rsid w:val="000C4C6D"/>
    <w:rsid w:val="000D6145"/>
    <w:rsid w:val="000D7487"/>
    <w:rsid w:val="000E7A33"/>
    <w:rsid w:val="000F1B6C"/>
    <w:rsid w:val="000F20A6"/>
    <w:rsid w:val="000F4C3B"/>
    <w:rsid w:val="000F7883"/>
    <w:rsid w:val="0010155F"/>
    <w:rsid w:val="00101C79"/>
    <w:rsid w:val="00107B09"/>
    <w:rsid w:val="0011212E"/>
    <w:rsid w:val="00120263"/>
    <w:rsid w:val="00123013"/>
    <w:rsid w:val="001276CD"/>
    <w:rsid w:val="00133EFE"/>
    <w:rsid w:val="00134622"/>
    <w:rsid w:val="00135E1B"/>
    <w:rsid w:val="0015327B"/>
    <w:rsid w:val="00154B73"/>
    <w:rsid w:val="00160D6D"/>
    <w:rsid w:val="00160D89"/>
    <w:rsid w:val="00163C52"/>
    <w:rsid w:val="00164E72"/>
    <w:rsid w:val="00167DD0"/>
    <w:rsid w:val="00171352"/>
    <w:rsid w:val="00171B97"/>
    <w:rsid w:val="00173AF0"/>
    <w:rsid w:val="00173BB2"/>
    <w:rsid w:val="00174FA2"/>
    <w:rsid w:val="00181CFE"/>
    <w:rsid w:val="00182703"/>
    <w:rsid w:val="001838CE"/>
    <w:rsid w:val="001876F4"/>
    <w:rsid w:val="00194CD3"/>
    <w:rsid w:val="00196CA4"/>
    <w:rsid w:val="001A4F8C"/>
    <w:rsid w:val="001A7BC0"/>
    <w:rsid w:val="001B00AE"/>
    <w:rsid w:val="001C0547"/>
    <w:rsid w:val="001D1724"/>
    <w:rsid w:val="001D394B"/>
    <w:rsid w:val="001F0E39"/>
    <w:rsid w:val="001F3707"/>
    <w:rsid w:val="001F71C4"/>
    <w:rsid w:val="002069E8"/>
    <w:rsid w:val="00206A89"/>
    <w:rsid w:val="002103D5"/>
    <w:rsid w:val="00214476"/>
    <w:rsid w:val="00224BFA"/>
    <w:rsid w:val="00226767"/>
    <w:rsid w:val="0023327C"/>
    <w:rsid w:val="0023414C"/>
    <w:rsid w:val="002365F2"/>
    <w:rsid w:val="00237CBF"/>
    <w:rsid w:val="00240999"/>
    <w:rsid w:val="00241D88"/>
    <w:rsid w:val="00244464"/>
    <w:rsid w:val="0024709A"/>
    <w:rsid w:val="00267C81"/>
    <w:rsid w:val="002731D2"/>
    <w:rsid w:val="00276566"/>
    <w:rsid w:val="00290313"/>
    <w:rsid w:val="00293401"/>
    <w:rsid w:val="00296ED4"/>
    <w:rsid w:val="0029700B"/>
    <w:rsid w:val="002D1C21"/>
    <w:rsid w:val="002D47A0"/>
    <w:rsid w:val="002E08EB"/>
    <w:rsid w:val="002E2E43"/>
    <w:rsid w:val="002E4463"/>
    <w:rsid w:val="002E5B6B"/>
    <w:rsid w:val="002F1ED5"/>
    <w:rsid w:val="002F2684"/>
    <w:rsid w:val="002F3423"/>
    <w:rsid w:val="00302E8C"/>
    <w:rsid w:val="00306AB1"/>
    <w:rsid w:val="00310D3B"/>
    <w:rsid w:val="0032155E"/>
    <w:rsid w:val="00322FC5"/>
    <w:rsid w:val="00325486"/>
    <w:rsid w:val="0035115C"/>
    <w:rsid w:val="0035174A"/>
    <w:rsid w:val="003607C0"/>
    <w:rsid w:val="00361682"/>
    <w:rsid w:val="0036677F"/>
    <w:rsid w:val="00377F83"/>
    <w:rsid w:val="0038706E"/>
    <w:rsid w:val="0038717C"/>
    <w:rsid w:val="003919A5"/>
    <w:rsid w:val="0039226C"/>
    <w:rsid w:val="00395712"/>
    <w:rsid w:val="00397A71"/>
    <w:rsid w:val="003B07CE"/>
    <w:rsid w:val="003C4F05"/>
    <w:rsid w:val="003C5E98"/>
    <w:rsid w:val="003C62C6"/>
    <w:rsid w:val="003E1AE7"/>
    <w:rsid w:val="003F46E5"/>
    <w:rsid w:val="00400A25"/>
    <w:rsid w:val="00400F65"/>
    <w:rsid w:val="0040394C"/>
    <w:rsid w:val="0040569E"/>
    <w:rsid w:val="0040585A"/>
    <w:rsid w:val="00407FF6"/>
    <w:rsid w:val="0041788F"/>
    <w:rsid w:val="004229AA"/>
    <w:rsid w:val="00427B92"/>
    <w:rsid w:val="00430F7C"/>
    <w:rsid w:val="00433FD0"/>
    <w:rsid w:val="00434184"/>
    <w:rsid w:val="00466648"/>
    <w:rsid w:val="00466A9B"/>
    <w:rsid w:val="004728D7"/>
    <w:rsid w:val="004777D7"/>
    <w:rsid w:val="0048071E"/>
    <w:rsid w:val="00482521"/>
    <w:rsid w:val="00482967"/>
    <w:rsid w:val="00486019"/>
    <w:rsid w:val="004873BF"/>
    <w:rsid w:val="00494CEB"/>
    <w:rsid w:val="00494F52"/>
    <w:rsid w:val="004951F0"/>
    <w:rsid w:val="004A24A7"/>
    <w:rsid w:val="004A254E"/>
    <w:rsid w:val="004B10F6"/>
    <w:rsid w:val="004B3DE9"/>
    <w:rsid w:val="004B7D14"/>
    <w:rsid w:val="004D7AE4"/>
    <w:rsid w:val="004E2CAD"/>
    <w:rsid w:val="004E4683"/>
    <w:rsid w:val="004F733A"/>
    <w:rsid w:val="00504D41"/>
    <w:rsid w:val="00506BF4"/>
    <w:rsid w:val="00521E32"/>
    <w:rsid w:val="00522E3B"/>
    <w:rsid w:val="0052410A"/>
    <w:rsid w:val="00530656"/>
    <w:rsid w:val="005453A8"/>
    <w:rsid w:val="00545918"/>
    <w:rsid w:val="005532FE"/>
    <w:rsid w:val="00573890"/>
    <w:rsid w:val="00573ACA"/>
    <w:rsid w:val="00576056"/>
    <w:rsid w:val="00581EE4"/>
    <w:rsid w:val="00583DBC"/>
    <w:rsid w:val="005853D4"/>
    <w:rsid w:val="00586979"/>
    <w:rsid w:val="00590F51"/>
    <w:rsid w:val="00593909"/>
    <w:rsid w:val="005A24A9"/>
    <w:rsid w:val="005A6760"/>
    <w:rsid w:val="005B49DE"/>
    <w:rsid w:val="005B6C93"/>
    <w:rsid w:val="005C6BF6"/>
    <w:rsid w:val="005C7998"/>
    <w:rsid w:val="005D2D98"/>
    <w:rsid w:val="005D443F"/>
    <w:rsid w:val="005D776B"/>
    <w:rsid w:val="005E0605"/>
    <w:rsid w:val="005E1D85"/>
    <w:rsid w:val="005F0CA7"/>
    <w:rsid w:val="00602F27"/>
    <w:rsid w:val="00603A98"/>
    <w:rsid w:val="006116AF"/>
    <w:rsid w:val="00615372"/>
    <w:rsid w:val="0061718F"/>
    <w:rsid w:val="0062160C"/>
    <w:rsid w:val="006233B4"/>
    <w:rsid w:val="00626A79"/>
    <w:rsid w:val="00637618"/>
    <w:rsid w:val="006412C7"/>
    <w:rsid w:val="00650130"/>
    <w:rsid w:val="00650990"/>
    <w:rsid w:val="00655AED"/>
    <w:rsid w:val="00664CAA"/>
    <w:rsid w:val="00665351"/>
    <w:rsid w:val="006678B1"/>
    <w:rsid w:val="00670D87"/>
    <w:rsid w:val="006757FE"/>
    <w:rsid w:val="006775E6"/>
    <w:rsid w:val="00680494"/>
    <w:rsid w:val="00681649"/>
    <w:rsid w:val="00681E19"/>
    <w:rsid w:val="006837FD"/>
    <w:rsid w:val="0069283C"/>
    <w:rsid w:val="00693E6F"/>
    <w:rsid w:val="006A41F4"/>
    <w:rsid w:val="006B4423"/>
    <w:rsid w:val="006B76CC"/>
    <w:rsid w:val="006C1EF5"/>
    <w:rsid w:val="006C7439"/>
    <w:rsid w:val="006C7F2D"/>
    <w:rsid w:val="006D24DD"/>
    <w:rsid w:val="006D6236"/>
    <w:rsid w:val="006D72B9"/>
    <w:rsid w:val="006E2094"/>
    <w:rsid w:val="006E3EF5"/>
    <w:rsid w:val="006F0253"/>
    <w:rsid w:val="006F0262"/>
    <w:rsid w:val="006F72DA"/>
    <w:rsid w:val="0070462E"/>
    <w:rsid w:val="0070610D"/>
    <w:rsid w:val="00714B55"/>
    <w:rsid w:val="0071772A"/>
    <w:rsid w:val="007206F5"/>
    <w:rsid w:val="0072350D"/>
    <w:rsid w:val="00726F09"/>
    <w:rsid w:val="007309E7"/>
    <w:rsid w:val="007321A1"/>
    <w:rsid w:val="007338DD"/>
    <w:rsid w:val="00734F10"/>
    <w:rsid w:val="00735823"/>
    <w:rsid w:val="007368C2"/>
    <w:rsid w:val="007374FA"/>
    <w:rsid w:val="007458C5"/>
    <w:rsid w:val="00753518"/>
    <w:rsid w:val="0076442F"/>
    <w:rsid w:val="007656E2"/>
    <w:rsid w:val="007675D1"/>
    <w:rsid w:val="007868B9"/>
    <w:rsid w:val="00786C03"/>
    <w:rsid w:val="00792886"/>
    <w:rsid w:val="007955ED"/>
    <w:rsid w:val="007958BD"/>
    <w:rsid w:val="007975B2"/>
    <w:rsid w:val="00797847"/>
    <w:rsid w:val="007A248E"/>
    <w:rsid w:val="007A2658"/>
    <w:rsid w:val="007A4BDC"/>
    <w:rsid w:val="007B6B05"/>
    <w:rsid w:val="007C0019"/>
    <w:rsid w:val="007C3FEE"/>
    <w:rsid w:val="007C7ADD"/>
    <w:rsid w:val="007E0A29"/>
    <w:rsid w:val="007E6569"/>
    <w:rsid w:val="007F380E"/>
    <w:rsid w:val="008015D9"/>
    <w:rsid w:val="00801B8C"/>
    <w:rsid w:val="00803FDE"/>
    <w:rsid w:val="00804687"/>
    <w:rsid w:val="00804F26"/>
    <w:rsid w:val="008051E7"/>
    <w:rsid w:val="008100D2"/>
    <w:rsid w:val="00814562"/>
    <w:rsid w:val="008202A8"/>
    <w:rsid w:val="0082335B"/>
    <w:rsid w:val="00824EBF"/>
    <w:rsid w:val="0082623B"/>
    <w:rsid w:val="00830662"/>
    <w:rsid w:val="0083593E"/>
    <w:rsid w:val="008417F4"/>
    <w:rsid w:val="00852716"/>
    <w:rsid w:val="00853719"/>
    <w:rsid w:val="00855AA9"/>
    <w:rsid w:val="00857896"/>
    <w:rsid w:val="00857CB7"/>
    <w:rsid w:val="0086097D"/>
    <w:rsid w:val="00860E27"/>
    <w:rsid w:val="00883A71"/>
    <w:rsid w:val="00885E1A"/>
    <w:rsid w:val="00886E7C"/>
    <w:rsid w:val="00894771"/>
    <w:rsid w:val="00897446"/>
    <w:rsid w:val="008A1B24"/>
    <w:rsid w:val="008A45F1"/>
    <w:rsid w:val="008A58AE"/>
    <w:rsid w:val="008A6465"/>
    <w:rsid w:val="008A66CD"/>
    <w:rsid w:val="008B0095"/>
    <w:rsid w:val="008B0C0A"/>
    <w:rsid w:val="008C3A8A"/>
    <w:rsid w:val="008C5627"/>
    <w:rsid w:val="008C5A00"/>
    <w:rsid w:val="008C6FE0"/>
    <w:rsid w:val="008D11A7"/>
    <w:rsid w:val="008E00E5"/>
    <w:rsid w:val="008E1AC9"/>
    <w:rsid w:val="008E5646"/>
    <w:rsid w:val="008F00AB"/>
    <w:rsid w:val="008F63DC"/>
    <w:rsid w:val="008F644C"/>
    <w:rsid w:val="008F706C"/>
    <w:rsid w:val="00902333"/>
    <w:rsid w:val="009046EC"/>
    <w:rsid w:val="0091013B"/>
    <w:rsid w:val="00915301"/>
    <w:rsid w:val="009178DF"/>
    <w:rsid w:val="00925294"/>
    <w:rsid w:val="00926947"/>
    <w:rsid w:val="0093626F"/>
    <w:rsid w:val="00937B86"/>
    <w:rsid w:val="00946A88"/>
    <w:rsid w:val="00952B08"/>
    <w:rsid w:val="009541CF"/>
    <w:rsid w:val="00954EB5"/>
    <w:rsid w:val="00957DAD"/>
    <w:rsid w:val="0096271E"/>
    <w:rsid w:val="00964DF6"/>
    <w:rsid w:val="00966769"/>
    <w:rsid w:val="00967862"/>
    <w:rsid w:val="00970420"/>
    <w:rsid w:val="00971037"/>
    <w:rsid w:val="00974371"/>
    <w:rsid w:val="00976D0F"/>
    <w:rsid w:val="009779A5"/>
    <w:rsid w:val="009802BC"/>
    <w:rsid w:val="009923AC"/>
    <w:rsid w:val="00997D54"/>
    <w:rsid w:val="009A1787"/>
    <w:rsid w:val="009A1F15"/>
    <w:rsid w:val="009A46F1"/>
    <w:rsid w:val="009B3553"/>
    <w:rsid w:val="009C14CF"/>
    <w:rsid w:val="009C1E37"/>
    <w:rsid w:val="009C39E1"/>
    <w:rsid w:val="009C44E2"/>
    <w:rsid w:val="009C5D6E"/>
    <w:rsid w:val="009D06EA"/>
    <w:rsid w:val="009D3FE0"/>
    <w:rsid w:val="009D4863"/>
    <w:rsid w:val="009D4F6A"/>
    <w:rsid w:val="009D7BCB"/>
    <w:rsid w:val="009E0535"/>
    <w:rsid w:val="009F35C1"/>
    <w:rsid w:val="009F39AE"/>
    <w:rsid w:val="00A11B48"/>
    <w:rsid w:val="00A1234D"/>
    <w:rsid w:val="00A12FC7"/>
    <w:rsid w:val="00A23E43"/>
    <w:rsid w:val="00A25A19"/>
    <w:rsid w:val="00A277B3"/>
    <w:rsid w:val="00A30E0B"/>
    <w:rsid w:val="00A32EFA"/>
    <w:rsid w:val="00A349E6"/>
    <w:rsid w:val="00A36ACC"/>
    <w:rsid w:val="00A42A8B"/>
    <w:rsid w:val="00A45622"/>
    <w:rsid w:val="00A46FA9"/>
    <w:rsid w:val="00A527C1"/>
    <w:rsid w:val="00A60E1E"/>
    <w:rsid w:val="00A62FFB"/>
    <w:rsid w:val="00A63049"/>
    <w:rsid w:val="00A64490"/>
    <w:rsid w:val="00A703CB"/>
    <w:rsid w:val="00A73831"/>
    <w:rsid w:val="00A7462E"/>
    <w:rsid w:val="00A775D6"/>
    <w:rsid w:val="00A83A9A"/>
    <w:rsid w:val="00A8468D"/>
    <w:rsid w:val="00A84C37"/>
    <w:rsid w:val="00A85738"/>
    <w:rsid w:val="00A90D8A"/>
    <w:rsid w:val="00A921F3"/>
    <w:rsid w:val="00A97528"/>
    <w:rsid w:val="00A977B1"/>
    <w:rsid w:val="00AA2AE8"/>
    <w:rsid w:val="00AA5964"/>
    <w:rsid w:val="00AB0888"/>
    <w:rsid w:val="00AC08F3"/>
    <w:rsid w:val="00AC60A5"/>
    <w:rsid w:val="00AD5EC2"/>
    <w:rsid w:val="00AE3D82"/>
    <w:rsid w:val="00AE48C8"/>
    <w:rsid w:val="00AE799A"/>
    <w:rsid w:val="00AF0CA1"/>
    <w:rsid w:val="00B056D2"/>
    <w:rsid w:val="00B07117"/>
    <w:rsid w:val="00B132D4"/>
    <w:rsid w:val="00B15980"/>
    <w:rsid w:val="00B17F56"/>
    <w:rsid w:val="00B27B97"/>
    <w:rsid w:val="00B30C2D"/>
    <w:rsid w:val="00B367DA"/>
    <w:rsid w:val="00B368D1"/>
    <w:rsid w:val="00B42F98"/>
    <w:rsid w:val="00B44326"/>
    <w:rsid w:val="00B44E0B"/>
    <w:rsid w:val="00B47483"/>
    <w:rsid w:val="00B47999"/>
    <w:rsid w:val="00B551FA"/>
    <w:rsid w:val="00B6745A"/>
    <w:rsid w:val="00B76DF6"/>
    <w:rsid w:val="00B821E2"/>
    <w:rsid w:val="00B901C0"/>
    <w:rsid w:val="00B92B41"/>
    <w:rsid w:val="00B93F2E"/>
    <w:rsid w:val="00B949F4"/>
    <w:rsid w:val="00BA109E"/>
    <w:rsid w:val="00BA36C8"/>
    <w:rsid w:val="00BA749D"/>
    <w:rsid w:val="00BB20CD"/>
    <w:rsid w:val="00BC0B2A"/>
    <w:rsid w:val="00BC2E25"/>
    <w:rsid w:val="00BC327B"/>
    <w:rsid w:val="00BC58C7"/>
    <w:rsid w:val="00BC70AD"/>
    <w:rsid w:val="00BE3FAF"/>
    <w:rsid w:val="00BE458C"/>
    <w:rsid w:val="00BE4681"/>
    <w:rsid w:val="00BE4CF4"/>
    <w:rsid w:val="00BE6AB1"/>
    <w:rsid w:val="00BE7304"/>
    <w:rsid w:val="00BF1A1B"/>
    <w:rsid w:val="00C003D0"/>
    <w:rsid w:val="00C007C2"/>
    <w:rsid w:val="00C02FA1"/>
    <w:rsid w:val="00C04234"/>
    <w:rsid w:val="00C07736"/>
    <w:rsid w:val="00C1651C"/>
    <w:rsid w:val="00C202E9"/>
    <w:rsid w:val="00C21A9B"/>
    <w:rsid w:val="00C25AAD"/>
    <w:rsid w:val="00C32AD2"/>
    <w:rsid w:val="00C33C12"/>
    <w:rsid w:val="00C3682A"/>
    <w:rsid w:val="00C37D12"/>
    <w:rsid w:val="00C40AB2"/>
    <w:rsid w:val="00C4198A"/>
    <w:rsid w:val="00C46A5D"/>
    <w:rsid w:val="00C47F69"/>
    <w:rsid w:val="00C54098"/>
    <w:rsid w:val="00C572D0"/>
    <w:rsid w:val="00C5743C"/>
    <w:rsid w:val="00C60C4A"/>
    <w:rsid w:val="00C60F54"/>
    <w:rsid w:val="00C616F7"/>
    <w:rsid w:val="00C66A39"/>
    <w:rsid w:val="00C80874"/>
    <w:rsid w:val="00C8694E"/>
    <w:rsid w:val="00C87FB1"/>
    <w:rsid w:val="00C9004F"/>
    <w:rsid w:val="00C92F3D"/>
    <w:rsid w:val="00C93DE3"/>
    <w:rsid w:val="00C947E0"/>
    <w:rsid w:val="00C96119"/>
    <w:rsid w:val="00C96280"/>
    <w:rsid w:val="00CA7DD6"/>
    <w:rsid w:val="00CB2A30"/>
    <w:rsid w:val="00CB3BD3"/>
    <w:rsid w:val="00CB7BC6"/>
    <w:rsid w:val="00CC01AD"/>
    <w:rsid w:val="00CE0901"/>
    <w:rsid w:val="00CE373D"/>
    <w:rsid w:val="00CE7C7C"/>
    <w:rsid w:val="00CE7E29"/>
    <w:rsid w:val="00CF2B1D"/>
    <w:rsid w:val="00CF392A"/>
    <w:rsid w:val="00CF6418"/>
    <w:rsid w:val="00D018A3"/>
    <w:rsid w:val="00D02158"/>
    <w:rsid w:val="00D12B8E"/>
    <w:rsid w:val="00D14169"/>
    <w:rsid w:val="00D1696D"/>
    <w:rsid w:val="00D232EA"/>
    <w:rsid w:val="00D240C2"/>
    <w:rsid w:val="00D25549"/>
    <w:rsid w:val="00D32168"/>
    <w:rsid w:val="00D35785"/>
    <w:rsid w:val="00D37DCE"/>
    <w:rsid w:val="00D43F22"/>
    <w:rsid w:val="00D54E7B"/>
    <w:rsid w:val="00D61005"/>
    <w:rsid w:val="00D62793"/>
    <w:rsid w:val="00D64E1C"/>
    <w:rsid w:val="00D64FB1"/>
    <w:rsid w:val="00D650B5"/>
    <w:rsid w:val="00D672A1"/>
    <w:rsid w:val="00D72B7E"/>
    <w:rsid w:val="00D758C9"/>
    <w:rsid w:val="00D801DF"/>
    <w:rsid w:val="00D852F6"/>
    <w:rsid w:val="00D90385"/>
    <w:rsid w:val="00D9266A"/>
    <w:rsid w:val="00D9585C"/>
    <w:rsid w:val="00DA19E4"/>
    <w:rsid w:val="00DA380A"/>
    <w:rsid w:val="00DA5E1B"/>
    <w:rsid w:val="00DB36FE"/>
    <w:rsid w:val="00DB675F"/>
    <w:rsid w:val="00DB7CE1"/>
    <w:rsid w:val="00DC150A"/>
    <w:rsid w:val="00DC6227"/>
    <w:rsid w:val="00DC6426"/>
    <w:rsid w:val="00DD460C"/>
    <w:rsid w:val="00DF7751"/>
    <w:rsid w:val="00E139DF"/>
    <w:rsid w:val="00E170CD"/>
    <w:rsid w:val="00E20391"/>
    <w:rsid w:val="00E221DF"/>
    <w:rsid w:val="00E22F59"/>
    <w:rsid w:val="00E23BCA"/>
    <w:rsid w:val="00E268BE"/>
    <w:rsid w:val="00E2731E"/>
    <w:rsid w:val="00E40CC7"/>
    <w:rsid w:val="00E41C90"/>
    <w:rsid w:val="00E472C2"/>
    <w:rsid w:val="00E5120A"/>
    <w:rsid w:val="00E51BAE"/>
    <w:rsid w:val="00E600DC"/>
    <w:rsid w:val="00E63610"/>
    <w:rsid w:val="00E67912"/>
    <w:rsid w:val="00E71A8E"/>
    <w:rsid w:val="00E8141C"/>
    <w:rsid w:val="00E81CE8"/>
    <w:rsid w:val="00E856F7"/>
    <w:rsid w:val="00E86421"/>
    <w:rsid w:val="00E9229D"/>
    <w:rsid w:val="00EB0CD9"/>
    <w:rsid w:val="00EB4642"/>
    <w:rsid w:val="00ED2A91"/>
    <w:rsid w:val="00EF30D5"/>
    <w:rsid w:val="00EF410B"/>
    <w:rsid w:val="00EF5713"/>
    <w:rsid w:val="00EF618D"/>
    <w:rsid w:val="00EF64A8"/>
    <w:rsid w:val="00F03890"/>
    <w:rsid w:val="00F03925"/>
    <w:rsid w:val="00F0621C"/>
    <w:rsid w:val="00F0679E"/>
    <w:rsid w:val="00F07499"/>
    <w:rsid w:val="00F2343A"/>
    <w:rsid w:val="00F23E4F"/>
    <w:rsid w:val="00F37069"/>
    <w:rsid w:val="00F4188E"/>
    <w:rsid w:val="00F4349F"/>
    <w:rsid w:val="00F45424"/>
    <w:rsid w:val="00F45B06"/>
    <w:rsid w:val="00F46D76"/>
    <w:rsid w:val="00F47B35"/>
    <w:rsid w:val="00F527C8"/>
    <w:rsid w:val="00F5341C"/>
    <w:rsid w:val="00F53D7F"/>
    <w:rsid w:val="00F55185"/>
    <w:rsid w:val="00F55781"/>
    <w:rsid w:val="00F56D6B"/>
    <w:rsid w:val="00F5775E"/>
    <w:rsid w:val="00F61B45"/>
    <w:rsid w:val="00F64224"/>
    <w:rsid w:val="00F673D9"/>
    <w:rsid w:val="00F71112"/>
    <w:rsid w:val="00F73F2C"/>
    <w:rsid w:val="00F77095"/>
    <w:rsid w:val="00F80103"/>
    <w:rsid w:val="00F85193"/>
    <w:rsid w:val="00F95984"/>
    <w:rsid w:val="00FA21DA"/>
    <w:rsid w:val="00FA34BF"/>
    <w:rsid w:val="00FB0764"/>
    <w:rsid w:val="00FC7720"/>
    <w:rsid w:val="00FD2BD2"/>
    <w:rsid w:val="00FD4A1A"/>
    <w:rsid w:val="00FD5687"/>
    <w:rsid w:val="00FD60D7"/>
    <w:rsid w:val="00FE1D05"/>
    <w:rsid w:val="00FE5DDD"/>
    <w:rsid w:val="00FE6D6D"/>
    <w:rsid w:val="00FF29AB"/>
    <w:rsid w:val="00FF2F9E"/>
    <w:rsid w:val="00FF5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280BE8"/>
  <w15:docId w15:val="{CDA3D86A-848F-4971-A714-230F27D7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メイリオ" w:eastAsia="メイリオ" w:hAnsiTheme="minorHAnsi" w:cstheme="minorBidi"/>
        <w:kern w:val="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15D9"/>
    <w:pPr>
      <w:widowControl w:val="0"/>
      <w:jc w:val="both"/>
    </w:pPr>
    <w:rPr>
      <w:rFonts w:ascii="ＭＳ 明朝"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link w:val="a4"/>
    <w:qFormat/>
    <w:rsid w:val="008015D9"/>
    <w:pPr>
      <w:spacing w:beforeLines="50" w:before="171" w:afterLines="50" w:after="171"/>
    </w:pPr>
    <w:rPr>
      <w:rFonts w:ascii="ＭＳ ゴシック" w:eastAsia="ＭＳ ゴシック" w:hAnsi="ＭＳ ゴシック"/>
      <w:b/>
    </w:rPr>
  </w:style>
  <w:style w:type="paragraph" w:customStyle="1" w:styleId="a5">
    <w:name w:val="文章"/>
    <w:basedOn w:val="a"/>
    <w:link w:val="a6"/>
    <w:qFormat/>
    <w:rsid w:val="008015D9"/>
    <w:pPr>
      <w:ind w:leftChars="100" w:left="210" w:firstLineChars="100" w:firstLine="210"/>
    </w:pPr>
  </w:style>
  <w:style w:type="character" w:customStyle="1" w:styleId="a4">
    <w:name w:val="タイトル (文字)"/>
    <w:basedOn w:val="a0"/>
    <w:link w:val="a3"/>
    <w:rsid w:val="008015D9"/>
    <w:rPr>
      <w:rFonts w:ascii="ＭＳ ゴシック" w:eastAsia="ＭＳ ゴシック" w:hAnsi="ＭＳ ゴシック" w:cs="Times New Roman"/>
      <w:b/>
      <w:sz w:val="21"/>
      <w:szCs w:val="24"/>
    </w:rPr>
  </w:style>
  <w:style w:type="paragraph" w:customStyle="1" w:styleId="a7">
    <w:name w:val="①"/>
    <w:basedOn w:val="a"/>
    <w:link w:val="a8"/>
    <w:qFormat/>
    <w:rsid w:val="00902333"/>
    <w:pPr>
      <w:ind w:leftChars="100" w:left="525" w:hangingChars="150" w:hanging="315"/>
    </w:pPr>
  </w:style>
  <w:style w:type="character" w:customStyle="1" w:styleId="a6">
    <w:name w:val="文章 (文字)"/>
    <w:basedOn w:val="a0"/>
    <w:link w:val="a5"/>
    <w:rsid w:val="008015D9"/>
    <w:rPr>
      <w:rFonts w:ascii="ＭＳ 明朝" w:eastAsia="ＭＳ 明朝" w:hAnsi="Century" w:cs="Times New Roman"/>
      <w:sz w:val="21"/>
      <w:szCs w:val="24"/>
    </w:rPr>
  </w:style>
  <w:style w:type="character" w:customStyle="1" w:styleId="a8">
    <w:name w:val="① (文字)"/>
    <w:basedOn w:val="a0"/>
    <w:link w:val="a7"/>
    <w:rsid w:val="00902333"/>
    <w:rPr>
      <w:rFonts w:ascii="ＭＳ 明朝" w:eastAsia="ＭＳ 明朝" w:hAnsi="Century" w:cs="Times New Roman"/>
      <w:sz w:val="21"/>
      <w:szCs w:val="24"/>
    </w:rPr>
  </w:style>
  <w:style w:type="paragraph" w:styleId="a9">
    <w:name w:val="header"/>
    <w:basedOn w:val="a"/>
    <w:link w:val="aa"/>
    <w:uiPriority w:val="99"/>
    <w:unhideWhenUsed/>
    <w:rsid w:val="00DA380A"/>
    <w:pPr>
      <w:tabs>
        <w:tab w:val="center" w:pos="4252"/>
        <w:tab w:val="right" w:pos="8504"/>
      </w:tabs>
      <w:snapToGrid w:val="0"/>
    </w:pPr>
  </w:style>
  <w:style w:type="character" w:customStyle="1" w:styleId="aa">
    <w:name w:val="ヘッダー (文字)"/>
    <w:basedOn w:val="a0"/>
    <w:link w:val="a9"/>
    <w:uiPriority w:val="99"/>
    <w:rsid w:val="00DA380A"/>
    <w:rPr>
      <w:rFonts w:ascii="ＭＳ 明朝" w:eastAsia="ＭＳ 明朝" w:hAnsi="Century" w:cs="Times New Roman"/>
      <w:sz w:val="21"/>
      <w:szCs w:val="24"/>
    </w:rPr>
  </w:style>
  <w:style w:type="paragraph" w:styleId="ab">
    <w:name w:val="footer"/>
    <w:basedOn w:val="a"/>
    <w:link w:val="ac"/>
    <w:uiPriority w:val="99"/>
    <w:unhideWhenUsed/>
    <w:rsid w:val="00DA380A"/>
    <w:pPr>
      <w:tabs>
        <w:tab w:val="center" w:pos="4252"/>
        <w:tab w:val="right" w:pos="8504"/>
      </w:tabs>
      <w:snapToGrid w:val="0"/>
    </w:pPr>
  </w:style>
  <w:style w:type="character" w:customStyle="1" w:styleId="ac">
    <w:name w:val="フッター (文字)"/>
    <w:basedOn w:val="a0"/>
    <w:link w:val="ab"/>
    <w:uiPriority w:val="99"/>
    <w:rsid w:val="00DA380A"/>
    <w:rPr>
      <w:rFonts w:ascii="ＭＳ 明朝" w:eastAsia="ＭＳ 明朝"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298</Words>
  <Characters>1701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つげさん</dc:creator>
  <cp:revision>4</cp:revision>
  <dcterms:created xsi:type="dcterms:W3CDTF">2019-03-07T01:26:00Z</dcterms:created>
  <dcterms:modified xsi:type="dcterms:W3CDTF">2019-03-27T06:21:00Z</dcterms:modified>
</cp:coreProperties>
</file>